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B18" w:rsidRPr="00F85B18" w:rsidRDefault="00F85B18" w:rsidP="00F85B18">
      <w:pPr>
        <w:pStyle w:val="Default"/>
        <w:jc w:val="center"/>
        <w:rPr>
          <w:b/>
          <w:szCs w:val="23"/>
        </w:rPr>
      </w:pPr>
      <w:r w:rsidRPr="00F85B18">
        <w:rPr>
          <w:b/>
          <w:szCs w:val="23"/>
        </w:rPr>
        <w:t>Presentato al MIUR il Piano di Azione triennale del Cluster Tecnologico Nazionale Energia</w:t>
      </w:r>
    </w:p>
    <w:p w:rsidR="00F85B18" w:rsidRDefault="00F85B18" w:rsidP="00F85B18">
      <w:pPr>
        <w:pStyle w:val="Default"/>
        <w:rPr>
          <w:sz w:val="23"/>
          <w:szCs w:val="23"/>
        </w:rPr>
      </w:pPr>
    </w:p>
    <w:p w:rsidR="00F85B18" w:rsidRDefault="00F85B18" w:rsidP="00F85B18">
      <w:pPr>
        <w:pStyle w:val="Default"/>
        <w:rPr>
          <w:sz w:val="23"/>
          <w:szCs w:val="23"/>
        </w:rPr>
      </w:pPr>
      <w:r>
        <w:rPr>
          <w:sz w:val="23"/>
          <w:szCs w:val="23"/>
        </w:rPr>
        <w:t xml:space="preserve">Il </w:t>
      </w:r>
      <w:r>
        <w:rPr>
          <w:i/>
          <w:iCs/>
          <w:sz w:val="23"/>
          <w:szCs w:val="23"/>
        </w:rPr>
        <w:t xml:space="preserve">Cluster Tecnologico Nazionale Energia </w:t>
      </w:r>
      <w:r>
        <w:rPr>
          <w:sz w:val="23"/>
          <w:szCs w:val="23"/>
        </w:rPr>
        <w:t>ha presentato al MIUR la</w:t>
      </w:r>
      <w:r>
        <w:rPr>
          <w:sz w:val="23"/>
          <w:szCs w:val="23"/>
        </w:rPr>
        <w:t xml:space="preserve"> sua </w:t>
      </w:r>
      <w:r>
        <w:rPr>
          <w:b/>
          <w:bCs/>
          <w:sz w:val="23"/>
          <w:szCs w:val="23"/>
        </w:rPr>
        <w:t xml:space="preserve">prima </w:t>
      </w:r>
      <w:r>
        <w:rPr>
          <w:b/>
          <w:bCs/>
          <w:i/>
          <w:iCs/>
          <w:sz w:val="23"/>
          <w:szCs w:val="23"/>
        </w:rPr>
        <w:t xml:space="preserve">roadmap </w:t>
      </w:r>
      <w:r>
        <w:rPr>
          <w:b/>
          <w:bCs/>
          <w:sz w:val="23"/>
          <w:szCs w:val="23"/>
        </w:rPr>
        <w:t xml:space="preserve">tecnologica e di sviluppo innovativa </w:t>
      </w:r>
      <w:r>
        <w:rPr>
          <w:sz w:val="23"/>
          <w:szCs w:val="23"/>
        </w:rPr>
        <w:t xml:space="preserve">e le traiettorie tecnologiche individuate per l’area di specializzazione Energia. </w:t>
      </w:r>
    </w:p>
    <w:p w:rsidR="00F85B18" w:rsidRDefault="00F85B18" w:rsidP="00F85B18">
      <w:pPr>
        <w:pStyle w:val="Default"/>
        <w:rPr>
          <w:sz w:val="23"/>
          <w:szCs w:val="23"/>
        </w:rPr>
      </w:pPr>
      <w:r>
        <w:rPr>
          <w:sz w:val="23"/>
          <w:szCs w:val="23"/>
        </w:rPr>
        <w:t xml:space="preserve">La selezione di tali </w:t>
      </w:r>
      <w:r>
        <w:rPr>
          <w:i/>
          <w:iCs/>
          <w:sz w:val="23"/>
          <w:szCs w:val="23"/>
        </w:rPr>
        <w:t xml:space="preserve">roadmap </w:t>
      </w:r>
      <w:r>
        <w:rPr>
          <w:sz w:val="23"/>
          <w:szCs w:val="23"/>
        </w:rPr>
        <w:t xml:space="preserve">e delle relative traiettorie tecnologiche è basata, innanzitutto, su una articolata e approfondita serie di </w:t>
      </w:r>
      <w:r>
        <w:rPr>
          <w:b/>
          <w:bCs/>
          <w:sz w:val="23"/>
          <w:szCs w:val="23"/>
        </w:rPr>
        <w:t>analisi preliminari</w:t>
      </w:r>
      <w:r>
        <w:rPr>
          <w:sz w:val="23"/>
          <w:szCs w:val="23"/>
        </w:rPr>
        <w:t xml:space="preserve"> </w:t>
      </w:r>
      <w:r>
        <w:rPr>
          <w:sz w:val="23"/>
          <w:szCs w:val="23"/>
        </w:rPr>
        <w:t>che hanno riguardato: il contesto settoriale territoriale</w:t>
      </w:r>
      <w:r>
        <w:rPr>
          <w:sz w:val="23"/>
          <w:szCs w:val="23"/>
        </w:rPr>
        <w:t>,</w:t>
      </w:r>
      <w:r>
        <w:rPr>
          <w:sz w:val="23"/>
          <w:szCs w:val="23"/>
        </w:rPr>
        <w:t xml:space="preserve"> i principali attori del sistema della ricerca e dell’innovazione</w:t>
      </w:r>
      <w:r>
        <w:rPr>
          <w:sz w:val="23"/>
          <w:szCs w:val="23"/>
        </w:rPr>
        <w:t>,</w:t>
      </w:r>
      <w:r>
        <w:rPr>
          <w:sz w:val="23"/>
          <w:szCs w:val="23"/>
        </w:rPr>
        <w:t xml:space="preserve"> le infrastrutture di ricerca</w:t>
      </w:r>
      <w:r>
        <w:rPr>
          <w:sz w:val="23"/>
          <w:szCs w:val="23"/>
        </w:rPr>
        <w:t xml:space="preserve">, </w:t>
      </w:r>
      <w:r>
        <w:rPr>
          <w:sz w:val="23"/>
          <w:szCs w:val="23"/>
        </w:rPr>
        <w:t>le agende strategiche di ricerca a livello internazionale e nazionale</w:t>
      </w:r>
      <w:r>
        <w:rPr>
          <w:sz w:val="23"/>
          <w:szCs w:val="23"/>
        </w:rPr>
        <w:t>, ed</w:t>
      </w:r>
      <w:r>
        <w:rPr>
          <w:sz w:val="23"/>
          <w:szCs w:val="23"/>
        </w:rPr>
        <w:t xml:space="preserve"> il posizionamento competitivo dell’Italia.</w:t>
      </w:r>
    </w:p>
    <w:p w:rsidR="00F85B18" w:rsidRDefault="00F85B18" w:rsidP="00F85B18">
      <w:pPr>
        <w:pStyle w:val="Default"/>
        <w:rPr>
          <w:sz w:val="23"/>
          <w:szCs w:val="23"/>
        </w:rPr>
      </w:pPr>
    </w:p>
    <w:p w:rsidR="00AD065F" w:rsidRDefault="00F85B18" w:rsidP="00F85B18">
      <w:r>
        <w:rPr>
          <w:sz w:val="23"/>
          <w:szCs w:val="23"/>
        </w:rPr>
        <w:t>Il Piano di Azione è derivato da</w:t>
      </w:r>
      <w:r>
        <w:rPr>
          <w:sz w:val="23"/>
          <w:szCs w:val="23"/>
        </w:rPr>
        <w:t xml:space="preserve"> un </w:t>
      </w:r>
      <w:r>
        <w:rPr>
          <w:b/>
          <w:bCs/>
          <w:sz w:val="23"/>
          <w:szCs w:val="23"/>
        </w:rPr>
        <w:t xml:space="preserve">ampio e strutturato processo partecipativo </w:t>
      </w:r>
      <w:r>
        <w:rPr>
          <w:sz w:val="23"/>
          <w:szCs w:val="23"/>
        </w:rPr>
        <w:t xml:space="preserve">che ha visto il coinvolgimento diretto di tutti i Soci, privati e pubblici, e degli organi sociali - a partire dal Comitato tecnico scientifico che è stato istituito il 30 maggio 2019 </w:t>
      </w:r>
      <w:r>
        <w:rPr>
          <w:sz w:val="23"/>
          <w:szCs w:val="23"/>
        </w:rPr>
        <w:t>–</w:t>
      </w:r>
      <w:r>
        <w:rPr>
          <w:sz w:val="23"/>
          <w:szCs w:val="23"/>
        </w:rPr>
        <w:t xml:space="preserve"> </w:t>
      </w:r>
      <w:r>
        <w:rPr>
          <w:sz w:val="23"/>
          <w:szCs w:val="23"/>
        </w:rPr>
        <w:t xml:space="preserve">ed </w:t>
      </w:r>
      <w:bookmarkStart w:id="0" w:name="_GoBack"/>
      <w:bookmarkEnd w:id="0"/>
      <w:r>
        <w:rPr>
          <w:sz w:val="23"/>
          <w:szCs w:val="23"/>
        </w:rPr>
        <w:t>ha permesso non solo la rilevazione di ulteriori informazioni e dati, ma soprattutto la creazione di una visione condivisa sul futuro a medio e lungo termine delle tecnologie energetiche nel contesto della nascente Unione dell’energia ed in sintonia con gli ambizioni obiettivi fissati dal Consiglio europeo del 20 giugno 2019 per assicurare una transizione verso un'Unione europea a impatto climatico zero entro il 2050, in linea con l'Accordo di Parigi sui cambiamenti climatici.</w:t>
      </w:r>
    </w:p>
    <w:sectPr w:rsidR="00AD065F" w:rsidSect="001C62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18"/>
    <w:rsid w:val="001C62DE"/>
    <w:rsid w:val="00AD065F"/>
    <w:rsid w:val="00F804EB"/>
    <w:rsid w:val="00F85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E93E8F"/>
  <w14:defaultImageDpi w14:val="32767"/>
  <w15:chartTrackingRefBased/>
  <w15:docId w15:val="{981CACBA-2814-F84A-973E-E133F3EF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85B1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Piero Celata</dc:creator>
  <cp:keywords/>
  <dc:description/>
  <cp:lastModifiedBy>Gian Piero Celata</cp:lastModifiedBy>
  <cp:revision>1</cp:revision>
  <dcterms:created xsi:type="dcterms:W3CDTF">2019-10-07T17:13:00Z</dcterms:created>
  <dcterms:modified xsi:type="dcterms:W3CDTF">2019-10-07T17:17:00Z</dcterms:modified>
</cp:coreProperties>
</file>